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HUMOR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 documento não faz parte dos documentos de inscrição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 e só poderá ser utilizado após publicação dos resultados, e somente em casos em que o candidato considere a necessidade de pedido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Habilitação Jurídica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AVALIAÇÃO E SELEÇÃO DA PROPOSTA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(    ) HABILITAÇÃO JURÍDICA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Categoria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ocal e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ata:__________________,  _____ de __________________de 201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Proponente/Pessoa Física ou do Representante Legal da  Pessoa Jurídica.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